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77F" w:rsidRDefault="007F777F" w:rsidP="007F777F">
      <w:pPr>
        <w:spacing w:line="480" w:lineRule="auto"/>
        <w:jc w:val="center"/>
        <w:rPr>
          <w:rFonts w:ascii="Times New Roman" w:hAnsi="Times New Roman" w:cs="Times New Roman"/>
          <w:b/>
          <w:bCs/>
          <w:sz w:val="24"/>
          <w:szCs w:val="24"/>
        </w:rPr>
      </w:pPr>
    </w:p>
    <w:p w:rsidR="007F777F" w:rsidRDefault="007F777F" w:rsidP="007F777F">
      <w:pPr>
        <w:spacing w:line="480" w:lineRule="auto"/>
        <w:jc w:val="center"/>
        <w:rPr>
          <w:rFonts w:ascii="Times New Roman" w:hAnsi="Times New Roman" w:cs="Times New Roman"/>
          <w:b/>
          <w:bCs/>
          <w:sz w:val="24"/>
          <w:szCs w:val="24"/>
        </w:rPr>
      </w:pPr>
    </w:p>
    <w:p w:rsidR="007F777F" w:rsidRDefault="007F777F" w:rsidP="007F777F">
      <w:pPr>
        <w:spacing w:line="480" w:lineRule="auto"/>
        <w:jc w:val="center"/>
        <w:rPr>
          <w:rFonts w:ascii="Times New Roman" w:hAnsi="Times New Roman" w:cs="Times New Roman"/>
          <w:b/>
          <w:bCs/>
          <w:sz w:val="24"/>
          <w:szCs w:val="24"/>
        </w:rPr>
      </w:pPr>
    </w:p>
    <w:p w:rsidR="007F777F" w:rsidRDefault="007F777F" w:rsidP="007F777F">
      <w:pPr>
        <w:spacing w:line="480" w:lineRule="auto"/>
        <w:jc w:val="center"/>
        <w:rPr>
          <w:rFonts w:ascii="Times New Roman" w:hAnsi="Times New Roman" w:cs="Times New Roman"/>
          <w:b/>
          <w:bCs/>
          <w:sz w:val="24"/>
          <w:szCs w:val="24"/>
        </w:rPr>
      </w:pPr>
    </w:p>
    <w:p w:rsidR="007F777F" w:rsidRDefault="00084877" w:rsidP="007F777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Article Critical Evaluation</w:t>
      </w:r>
    </w:p>
    <w:p w:rsidR="007F777F" w:rsidRPr="00A972EE" w:rsidRDefault="007F777F" w:rsidP="007F777F">
      <w:pPr>
        <w:spacing w:line="480" w:lineRule="auto"/>
        <w:jc w:val="center"/>
        <w:rPr>
          <w:rFonts w:ascii="Times New Roman" w:hAnsi="Times New Roman" w:cs="Times New Roman"/>
          <w:b/>
          <w:bCs/>
          <w:sz w:val="24"/>
          <w:szCs w:val="24"/>
        </w:rPr>
      </w:pPr>
    </w:p>
    <w:p w:rsidR="007F777F" w:rsidRPr="007F777F" w:rsidRDefault="00084877" w:rsidP="007F777F">
      <w:pPr>
        <w:spacing w:line="480" w:lineRule="auto"/>
        <w:jc w:val="center"/>
        <w:rPr>
          <w:rFonts w:ascii="Times New Roman" w:hAnsi="Times New Roman" w:cs="Times New Roman"/>
          <w:bCs/>
          <w:sz w:val="24"/>
          <w:szCs w:val="24"/>
        </w:rPr>
      </w:pPr>
      <w:r w:rsidRPr="007F777F">
        <w:rPr>
          <w:rFonts w:ascii="Times New Roman" w:hAnsi="Times New Roman" w:cs="Times New Roman"/>
          <w:bCs/>
          <w:sz w:val="24"/>
          <w:szCs w:val="24"/>
        </w:rPr>
        <w:t>Name</w:t>
      </w:r>
    </w:p>
    <w:p w:rsidR="007F777F" w:rsidRPr="007F777F" w:rsidRDefault="00084877" w:rsidP="007F777F">
      <w:pPr>
        <w:spacing w:line="480" w:lineRule="auto"/>
        <w:jc w:val="center"/>
        <w:rPr>
          <w:rFonts w:ascii="Times New Roman" w:hAnsi="Times New Roman" w:cs="Times New Roman"/>
          <w:bCs/>
          <w:sz w:val="24"/>
          <w:szCs w:val="24"/>
        </w:rPr>
      </w:pPr>
      <w:r w:rsidRPr="007F777F">
        <w:rPr>
          <w:rFonts w:ascii="Times New Roman" w:hAnsi="Times New Roman" w:cs="Times New Roman"/>
          <w:bCs/>
          <w:sz w:val="24"/>
          <w:szCs w:val="24"/>
        </w:rPr>
        <w:t>Institution</w:t>
      </w:r>
    </w:p>
    <w:p w:rsidR="007F777F" w:rsidRPr="007F777F" w:rsidRDefault="00084877" w:rsidP="007F777F">
      <w:pPr>
        <w:spacing w:line="480" w:lineRule="auto"/>
        <w:jc w:val="center"/>
        <w:rPr>
          <w:rFonts w:ascii="Times New Roman" w:hAnsi="Times New Roman" w:cs="Times New Roman"/>
          <w:bCs/>
          <w:sz w:val="24"/>
          <w:szCs w:val="24"/>
        </w:rPr>
      </w:pPr>
      <w:r w:rsidRPr="007F777F">
        <w:rPr>
          <w:rFonts w:ascii="Times New Roman" w:hAnsi="Times New Roman" w:cs="Times New Roman"/>
          <w:bCs/>
          <w:sz w:val="24"/>
          <w:szCs w:val="24"/>
        </w:rPr>
        <w:t>Course</w:t>
      </w:r>
    </w:p>
    <w:p w:rsidR="007F777F" w:rsidRPr="007F777F" w:rsidRDefault="00084877" w:rsidP="007F777F">
      <w:pPr>
        <w:spacing w:line="480" w:lineRule="auto"/>
        <w:jc w:val="center"/>
        <w:rPr>
          <w:rFonts w:ascii="Times New Roman" w:hAnsi="Times New Roman" w:cs="Times New Roman"/>
          <w:bCs/>
          <w:sz w:val="24"/>
          <w:szCs w:val="24"/>
        </w:rPr>
      </w:pPr>
      <w:r w:rsidRPr="007F777F">
        <w:rPr>
          <w:rFonts w:ascii="Times New Roman" w:hAnsi="Times New Roman" w:cs="Times New Roman"/>
          <w:bCs/>
          <w:sz w:val="24"/>
          <w:szCs w:val="24"/>
        </w:rPr>
        <w:t>Date</w:t>
      </w:r>
    </w:p>
    <w:p w:rsidR="007F777F" w:rsidRDefault="007F777F" w:rsidP="007F777F">
      <w:pPr>
        <w:spacing w:line="480" w:lineRule="auto"/>
        <w:jc w:val="center"/>
        <w:rPr>
          <w:rFonts w:ascii="Times New Roman" w:hAnsi="Times New Roman" w:cs="Times New Roman"/>
          <w:b/>
          <w:bCs/>
          <w:sz w:val="24"/>
          <w:szCs w:val="24"/>
        </w:rPr>
      </w:pPr>
    </w:p>
    <w:p w:rsidR="007F777F" w:rsidRDefault="00084877" w:rsidP="007F777F">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7F777F" w:rsidRPr="00A972EE" w:rsidRDefault="00084877" w:rsidP="007F777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Article Critical Evaluation</w:t>
      </w:r>
    </w:p>
    <w:p w:rsidR="007F777F" w:rsidRPr="00A972EE" w:rsidRDefault="00084877" w:rsidP="007F777F">
      <w:pPr>
        <w:spacing w:line="480" w:lineRule="auto"/>
        <w:rPr>
          <w:rFonts w:ascii="Times New Roman" w:hAnsi="Times New Roman" w:cs="Times New Roman"/>
          <w:b/>
          <w:bCs/>
          <w:sz w:val="24"/>
          <w:szCs w:val="24"/>
        </w:rPr>
      </w:pPr>
      <w:r w:rsidRPr="00A972EE">
        <w:rPr>
          <w:rFonts w:ascii="Times New Roman" w:hAnsi="Times New Roman" w:cs="Times New Roman"/>
          <w:b/>
          <w:bCs/>
          <w:sz w:val="24"/>
          <w:szCs w:val="24"/>
        </w:rPr>
        <w:t>Introduction</w:t>
      </w:r>
    </w:p>
    <w:p w:rsidR="007F777F" w:rsidRPr="00A972EE" w:rsidRDefault="00084877" w:rsidP="002018CF">
      <w:pPr>
        <w:spacing w:line="480" w:lineRule="auto"/>
        <w:jc w:val="both"/>
        <w:rPr>
          <w:rFonts w:ascii="Times New Roman" w:hAnsi="Times New Roman" w:cs="Times New Roman"/>
          <w:sz w:val="24"/>
          <w:szCs w:val="24"/>
        </w:rPr>
      </w:pPr>
      <w:r w:rsidRPr="00A972EE">
        <w:rPr>
          <w:rFonts w:ascii="Times New Roman" w:hAnsi="Times New Roman" w:cs="Times New Roman"/>
          <w:sz w:val="24"/>
          <w:szCs w:val="24"/>
        </w:rPr>
        <w:t>This manuscript concentrated on the effects of an n-</w:t>
      </w:r>
      <w:proofErr w:type="spellStart"/>
      <w:r w:rsidRPr="00A972EE">
        <w:rPr>
          <w:rFonts w:ascii="Times New Roman" w:hAnsi="Times New Roman" w:cs="Times New Roman"/>
          <w:sz w:val="24"/>
          <w:szCs w:val="24"/>
        </w:rPr>
        <w:t>butanol</w:t>
      </w:r>
      <w:proofErr w:type="spellEnd"/>
      <w:r w:rsidRPr="00A972EE">
        <w:rPr>
          <w:rFonts w:ascii="Times New Roman" w:hAnsi="Times New Roman" w:cs="Times New Roman"/>
          <w:sz w:val="24"/>
          <w:szCs w:val="24"/>
        </w:rPr>
        <w:t xml:space="preserve"> fraction of </w:t>
      </w:r>
      <w:proofErr w:type="spellStart"/>
      <w:r w:rsidRPr="00A972EE">
        <w:rPr>
          <w:rFonts w:ascii="Times New Roman" w:hAnsi="Times New Roman" w:cs="Times New Roman"/>
          <w:sz w:val="24"/>
          <w:szCs w:val="24"/>
        </w:rPr>
        <w:t>Huoshan</w:t>
      </w:r>
      <w:proofErr w:type="spellEnd"/>
      <w:r w:rsidRPr="00A972EE">
        <w:rPr>
          <w:rFonts w:ascii="Times New Roman" w:hAnsi="Times New Roman" w:cs="Times New Roman"/>
          <w:sz w:val="24"/>
          <w:szCs w:val="24"/>
        </w:rPr>
        <w:t xml:space="preserve"> large-leaf yellow tea extract (HLYTBE) on HG-induced autophagy and apoptosis in endothelial cells. Similarly, the article has explored the defensive impacts of HLUTBE on glucose and lipid and vascular injury in type 2 diabetic mice induced by enhanced sucrose-high fat diet and low-dose </w:t>
      </w:r>
      <w:proofErr w:type="spellStart"/>
      <w:r w:rsidRPr="00A972EE">
        <w:rPr>
          <w:rFonts w:ascii="Times New Roman" w:hAnsi="Times New Roman" w:cs="Times New Roman"/>
          <w:sz w:val="24"/>
          <w:szCs w:val="24"/>
        </w:rPr>
        <w:t>streptozotocin</w:t>
      </w:r>
      <w:proofErr w:type="spellEnd"/>
      <w:r w:rsidRPr="00A972EE">
        <w:rPr>
          <w:rFonts w:ascii="Times New Roman" w:hAnsi="Times New Roman" w:cs="Times New Roman"/>
          <w:sz w:val="24"/>
          <w:szCs w:val="24"/>
        </w:rPr>
        <w:t xml:space="preserve"> (STZ). Tea plays a vital role in the beverage industry, although there are several types of tea, including black and green. The range of fermentation differentiates the exceptional color and flavor of tea by altering the chemical content of the degree of oxidation. While yellow tea is a flippantly fermented tea perceived as </w:t>
      </w:r>
      <w:r w:rsidR="002018CF" w:rsidRPr="00A972EE">
        <w:rPr>
          <w:rFonts w:ascii="Times New Roman" w:hAnsi="Times New Roman" w:cs="Times New Roman"/>
          <w:sz w:val="24"/>
          <w:szCs w:val="24"/>
        </w:rPr>
        <w:t>fresher as and</w:t>
      </w:r>
      <w:r w:rsidRPr="00A972EE">
        <w:rPr>
          <w:rFonts w:ascii="Times New Roman" w:hAnsi="Times New Roman" w:cs="Times New Roman"/>
          <w:sz w:val="24"/>
          <w:szCs w:val="24"/>
        </w:rPr>
        <w:t xml:space="preserve"> smoother than other teas, it has several pharmacologic properties such as reducing the levels of low-density lipoprotein and enhancing glucose tolerance in </w:t>
      </w:r>
      <w:proofErr w:type="spellStart"/>
      <w:r w:rsidRPr="00A972EE">
        <w:rPr>
          <w:rFonts w:ascii="Times New Roman" w:hAnsi="Times New Roman" w:cs="Times New Roman"/>
          <w:sz w:val="24"/>
          <w:szCs w:val="24"/>
        </w:rPr>
        <w:t>db</w:t>
      </w:r>
      <w:proofErr w:type="spellEnd"/>
      <w:r w:rsidRPr="00A972EE">
        <w:rPr>
          <w:rFonts w:ascii="Times New Roman" w:hAnsi="Times New Roman" w:cs="Times New Roman"/>
          <w:sz w:val="24"/>
          <w:szCs w:val="24"/>
        </w:rPr>
        <w:t>/</w:t>
      </w:r>
      <w:proofErr w:type="spellStart"/>
      <w:r w:rsidRPr="00A972EE">
        <w:rPr>
          <w:rFonts w:ascii="Times New Roman" w:hAnsi="Times New Roman" w:cs="Times New Roman"/>
          <w:sz w:val="24"/>
          <w:szCs w:val="24"/>
        </w:rPr>
        <w:t>db</w:t>
      </w:r>
      <w:proofErr w:type="spellEnd"/>
      <w:r w:rsidRPr="00A972EE">
        <w:rPr>
          <w:rFonts w:ascii="Times New Roman" w:hAnsi="Times New Roman" w:cs="Times New Roman"/>
          <w:sz w:val="24"/>
          <w:szCs w:val="24"/>
        </w:rPr>
        <w:t xml:space="preserve"> mice.</w:t>
      </w:r>
    </w:p>
    <w:p w:rsidR="007F777F" w:rsidRPr="00A972EE" w:rsidRDefault="00084877" w:rsidP="007F777F">
      <w:pPr>
        <w:spacing w:line="480" w:lineRule="auto"/>
        <w:rPr>
          <w:rFonts w:ascii="Times New Roman" w:hAnsi="Times New Roman" w:cs="Times New Roman"/>
          <w:b/>
          <w:bCs/>
          <w:sz w:val="24"/>
          <w:szCs w:val="24"/>
        </w:rPr>
      </w:pPr>
      <w:r w:rsidRPr="00A972EE">
        <w:rPr>
          <w:rFonts w:ascii="Times New Roman" w:hAnsi="Times New Roman" w:cs="Times New Roman"/>
          <w:b/>
          <w:bCs/>
          <w:sz w:val="24"/>
          <w:szCs w:val="24"/>
        </w:rPr>
        <w:t>Summary</w:t>
      </w:r>
    </w:p>
    <w:p w:rsidR="007F777F" w:rsidRPr="00A972EE" w:rsidRDefault="00084877" w:rsidP="002018CF">
      <w:pPr>
        <w:spacing w:line="480" w:lineRule="auto"/>
        <w:jc w:val="both"/>
        <w:rPr>
          <w:rFonts w:ascii="Times New Roman" w:hAnsi="Times New Roman" w:cs="Times New Roman"/>
          <w:sz w:val="24"/>
          <w:szCs w:val="24"/>
        </w:rPr>
      </w:pPr>
      <w:r w:rsidRPr="00A972EE">
        <w:rPr>
          <w:rFonts w:ascii="Times New Roman" w:hAnsi="Times New Roman" w:cs="Times New Roman"/>
          <w:sz w:val="24"/>
          <w:szCs w:val="24"/>
        </w:rPr>
        <w:tab/>
        <w:t>The authors have investigated the impacts of the n-</w:t>
      </w:r>
      <w:proofErr w:type="spellStart"/>
      <w:r w:rsidRPr="00A972EE">
        <w:rPr>
          <w:rFonts w:ascii="Times New Roman" w:hAnsi="Times New Roman" w:cs="Times New Roman"/>
          <w:sz w:val="24"/>
          <w:szCs w:val="24"/>
        </w:rPr>
        <w:t>butanol</w:t>
      </w:r>
      <w:proofErr w:type="spellEnd"/>
      <w:r w:rsidRPr="00A972EE">
        <w:rPr>
          <w:rFonts w:ascii="Times New Roman" w:hAnsi="Times New Roman" w:cs="Times New Roman"/>
          <w:sz w:val="24"/>
          <w:szCs w:val="24"/>
        </w:rPr>
        <w:t xml:space="preserve"> fraction of HLYTE on the vascular endothelial wound by utilizing the human umbilical vei</w:t>
      </w:r>
      <w:r w:rsidR="00B06794">
        <w:rPr>
          <w:rFonts w:ascii="Times New Roman" w:hAnsi="Times New Roman" w:cs="Times New Roman"/>
          <w:sz w:val="24"/>
          <w:szCs w:val="24"/>
        </w:rPr>
        <w:t>n endothelial cells (HUVECs) as well as</w:t>
      </w:r>
      <w:r w:rsidRPr="00A972EE">
        <w:rPr>
          <w:rFonts w:ascii="Times New Roman" w:hAnsi="Times New Roman" w:cs="Times New Roman"/>
          <w:sz w:val="24"/>
          <w:szCs w:val="24"/>
        </w:rPr>
        <w:t xml:space="preserve"> diabetic mice. Since Yellow tea has a frivolously agitated tea, it has a defensive impact on vascular endothelial cells. Also, the authors explored the safeguard of HUVECs against damage triggered by HG. </w:t>
      </w:r>
      <w:proofErr w:type="gramStart"/>
      <w:r w:rsidRPr="00A972EE">
        <w:rPr>
          <w:rFonts w:ascii="Times New Roman" w:hAnsi="Times New Roman" w:cs="Times New Roman"/>
          <w:sz w:val="24"/>
          <w:szCs w:val="24"/>
        </w:rPr>
        <w:t>the</w:t>
      </w:r>
      <w:proofErr w:type="gramEnd"/>
      <w:r w:rsidRPr="00A972EE">
        <w:rPr>
          <w:rFonts w:ascii="Times New Roman" w:hAnsi="Times New Roman" w:cs="Times New Roman"/>
          <w:sz w:val="24"/>
          <w:szCs w:val="24"/>
        </w:rPr>
        <w:t xml:space="preserve"> results obtained indicated that HLYTBE substantially decreased the manufacture of sensitive oxygen types, enhanced an </w:t>
      </w:r>
      <w:proofErr w:type="spellStart"/>
      <w:r w:rsidRPr="00A972EE">
        <w:rPr>
          <w:rFonts w:ascii="Times New Roman" w:hAnsi="Times New Roman" w:cs="Times New Roman"/>
          <w:sz w:val="24"/>
          <w:szCs w:val="24"/>
        </w:rPr>
        <w:t>antioxidase</w:t>
      </w:r>
      <w:proofErr w:type="spellEnd"/>
      <w:r w:rsidRPr="00A972EE">
        <w:rPr>
          <w:rFonts w:ascii="Times New Roman" w:hAnsi="Times New Roman" w:cs="Times New Roman"/>
          <w:sz w:val="24"/>
          <w:szCs w:val="24"/>
        </w:rPr>
        <w:t xml:space="preserve"> event, improved the manufacture of reduced glutathione, and reduced the range of oxidized glutathione. Furthermore, the authors also found that HLYTBE encouraged </w:t>
      </w:r>
      <w:proofErr w:type="spellStart"/>
      <w:r w:rsidRPr="00A972EE">
        <w:rPr>
          <w:rFonts w:ascii="Times New Roman" w:hAnsi="Times New Roman" w:cs="Times New Roman"/>
          <w:sz w:val="24"/>
          <w:szCs w:val="24"/>
        </w:rPr>
        <w:t>autophagosome</w:t>
      </w:r>
      <w:proofErr w:type="spellEnd"/>
      <w:r w:rsidRPr="00A972EE">
        <w:rPr>
          <w:rFonts w:ascii="Times New Roman" w:hAnsi="Times New Roman" w:cs="Times New Roman"/>
          <w:sz w:val="24"/>
          <w:szCs w:val="24"/>
        </w:rPr>
        <w:t xml:space="preserve"> creation, enhanced the appearance of microtubule-related protein, and reduced the countenance of p62. Other benefits found are </w:t>
      </w:r>
      <w:r w:rsidRPr="00A972EE">
        <w:rPr>
          <w:rFonts w:ascii="Times New Roman" w:hAnsi="Times New Roman" w:cs="Times New Roman"/>
          <w:sz w:val="24"/>
          <w:szCs w:val="24"/>
        </w:rPr>
        <w:lastRenderedPageBreak/>
        <w:t>HLYTBE ameliorates glycolipid metabolism, IR, and oxidative stress in diabetic mice and weakens apoptosis and pathological harm in the aorta of diabetic mice.</w:t>
      </w:r>
    </w:p>
    <w:p w:rsidR="007F777F" w:rsidRPr="00A972EE" w:rsidRDefault="00084877" w:rsidP="007F777F">
      <w:pPr>
        <w:spacing w:line="480" w:lineRule="auto"/>
        <w:rPr>
          <w:rFonts w:ascii="Times New Roman" w:hAnsi="Times New Roman" w:cs="Times New Roman"/>
          <w:b/>
          <w:bCs/>
          <w:sz w:val="24"/>
          <w:szCs w:val="24"/>
        </w:rPr>
      </w:pPr>
      <w:r w:rsidRPr="00A972EE">
        <w:rPr>
          <w:rFonts w:ascii="Times New Roman" w:hAnsi="Times New Roman" w:cs="Times New Roman"/>
          <w:b/>
          <w:bCs/>
          <w:sz w:val="24"/>
          <w:szCs w:val="24"/>
        </w:rPr>
        <w:t>Comments to the authors</w:t>
      </w:r>
    </w:p>
    <w:p w:rsidR="007F777F" w:rsidRPr="00A972EE" w:rsidRDefault="00084877" w:rsidP="007F777F">
      <w:pPr>
        <w:spacing w:line="480" w:lineRule="auto"/>
        <w:rPr>
          <w:rFonts w:ascii="Times New Roman" w:hAnsi="Times New Roman" w:cs="Times New Roman"/>
          <w:sz w:val="24"/>
          <w:szCs w:val="24"/>
        </w:rPr>
      </w:pPr>
      <w:r w:rsidRPr="00A972EE">
        <w:rPr>
          <w:rFonts w:ascii="Times New Roman" w:hAnsi="Times New Roman" w:cs="Times New Roman"/>
          <w:sz w:val="24"/>
          <w:szCs w:val="24"/>
        </w:rPr>
        <w:t xml:space="preserve">Although the article presents interesting and critical findings concerning yellow tea usage in decreasing </w:t>
      </w:r>
      <w:r w:rsidR="00B06794">
        <w:rPr>
          <w:rFonts w:ascii="Times New Roman" w:hAnsi="Times New Roman" w:cs="Times New Roman"/>
          <w:sz w:val="24"/>
          <w:szCs w:val="24"/>
        </w:rPr>
        <w:t xml:space="preserve">injury regarding </w:t>
      </w:r>
      <w:r w:rsidRPr="00A972EE">
        <w:rPr>
          <w:rFonts w:ascii="Times New Roman" w:hAnsi="Times New Roman" w:cs="Times New Roman"/>
          <w:sz w:val="24"/>
          <w:szCs w:val="24"/>
        </w:rPr>
        <w:t xml:space="preserve">high glucose-induced vascular endothelial cells </w:t>
      </w:r>
      <w:r w:rsidR="00B06794">
        <w:rPr>
          <w:rFonts w:ascii="Times New Roman" w:hAnsi="Times New Roman" w:cs="Times New Roman"/>
          <w:sz w:val="24"/>
          <w:szCs w:val="24"/>
        </w:rPr>
        <w:t>through</w:t>
      </w:r>
      <w:r w:rsidRPr="00A972EE">
        <w:rPr>
          <w:rFonts w:ascii="Times New Roman" w:hAnsi="Times New Roman" w:cs="Times New Roman"/>
          <w:sz w:val="24"/>
          <w:szCs w:val="24"/>
        </w:rPr>
        <w:t xml:space="preserve"> controlling autophagy and reducing oxidative stress, several issues need to be explained to support the author's investigation and conclusions.</w:t>
      </w:r>
    </w:p>
    <w:p w:rsidR="007F777F" w:rsidRPr="00A972EE" w:rsidRDefault="00084877" w:rsidP="007F777F">
      <w:pPr>
        <w:spacing w:line="480" w:lineRule="auto"/>
        <w:rPr>
          <w:rFonts w:ascii="Times New Roman" w:hAnsi="Times New Roman" w:cs="Times New Roman"/>
          <w:b/>
          <w:bCs/>
          <w:sz w:val="24"/>
          <w:szCs w:val="24"/>
        </w:rPr>
      </w:pPr>
      <w:r w:rsidRPr="00A972EE">
        <w:rPr>
          <w:rFonts w:ascii="Times New Roman" w:hAnsi="Times New Roman" w:cs="Times New Roman"/>
          <w:b/>
          <w:bCs/>
          <w:sz w:val="24"/>
          <w:szCs w:val="24"/>
        </w:rPr>
        <w:t>Major Comments</w:t>
      </w:r>
    </w:p>
    <w:p w:rsidR="007F777F" w:rsidRPr="00A972EE" w:rsidRDefault="00084877" w:rsidP="002018CF">
      <w:pPr>
        <w:pStyle w:val="ListParagraph"/>
        <w:numPr>
          <w:ilvl w:val="0"/>
          <w:numId w:val="1"/>
        </w:numPr>
        <w:spacing w:line="480" w:lineRule="auto"/>
        <w:jc w:val="both"/>
        <w:rPr>
          <w:rFonts w:ascii="Times New Roman" w:hAnsi="Times New Roman" w:cs="Times New Roman"/>
          <w:sz w:val="24"/>
          <w:szCs w:val="24"/>
        </w:rPr>
      </w:pPr>
      <w:r w:rsidRPr="00A972EE">
        <w:rPr>
          <w:rFonts w:ascii="Times New Roman" w:hAnsi="Times New Roman" w:cs="Times New Roman"/>
          <w:sz w:val="24"/>
          <w:szCs w:val="24"/>
        </w:rPr>
        <w:t xml:space="preserve">In the first sentence of the abstract, the author mentions that </w:t>
      </w:r>
      <w:r w:rsidR="002018CF" w:rsidRPr="00A972EE">
        <w:rPr>
          <w:rFonts w:ascii="Times New Roman" w:hAnsi="Times New Roman" w:cs="Times New Roman"/>
          <w:sz w:val="24"/>
          <w:szCs w:val="24"/>
        </w:rPr>
        <w:t>vascular</w:t>
      </w:r>
      <w:r w:rsidRPr="00A972EE">
        <w:rPr>
          <w:rFonts w:ascii="Times New Roman" w:hAnsi="Times New Roman" w:cs="Times New Roman"/>
          <w:sz w:val="24"/>
          <w:szCs w:val="24"/>
        </w:rPr>
        <w:t xml:space="preserve"> endothelial cell damage brought by high glucose is vital in the appearance and progression of diabetic vascular complications. Nevertheless, the authors did not explain the negative effects of taking excessive yellow tea. Although the tea may have actual positive results based on the study, they need to explain the side effects when taking in excess and which population is at risk.</w:t>
      </w:r>
    </w:p>
    <w:p w:rsidR="007F777F" w:rsidRPr="00A972EE" w:rsidRDefault="00084877" w:rsidP="002018CF">
      <w:pPr>
        <w:pStyle w:val="ListParagraph"/>
        <w:numPr>
          <w:ilvl w:val="0"/>
          <w:numId w:val="1"/>
        </w:numPr>
        <w:spacing w:line="480" w:lineRule="auto"/>
        <w:jc w:val="both"/>
        <w:rPr>
          <w:rFonts w:ascii="Times New Roman" w:hAnsi="Times New Roman" w:cs="Times New Roman"/>
          <w:sz w:val="24"/>
          <w:szCs w:val="24"/>
        </w:rPr>
      </w:pPr>
      <w:r w:rsidRPr="00A972EE">
        <w:rPr>
          <w:rFonts w:ascii="Times New Roman" w:hAnsi="Times New Roman" w:cs="Times New Roman"/>
          <w:sz w:val="24"/>
          <w:szCs w:val="24"/>
        </w:rPr>
        <w:t xml:space="preserve">In the abstract and introduction, the authors explained how HLYTBE decreases apoptosis and cytochrome C expression. It investigated how yellow tea weakens high glucose-encouraged vascular endothelial cells damaged by up-control autophagy down-controlling oxidative stress. Therefore, the authors need to explain this because the role of cytochrome c is to allow electrons from the </w:t>
      </w:r>
      <w:proofErr w:type="spellStart"/>
      <w:proofErr w:type="gramStart"/>
      <w:r w:rsidRPr="00A972EE">
        <w:rPr>
          <w:rFonts w:ascii="Times New Roman" w:hAnsi="Times New Roman" w:cs="Times New Roman"/>
          <w:sz w:val="24"/>
          <w:szCs w:val="24"/>
        </w:rPr>
        <w:t>bc</w:t>
      </w:r>
      <w:proofErr w:type="spellEnd"/>
      <w:proofErr w:type="gramEnd"/>
      <w:r w:rsidRPr="00A972EE">
        <w:rPr>
          <w:rFonts w:ascii="Times New Roman" w:hAnsi="Times New Roman" w:cs="Times New Roman"/>
          <w:sz w:val="24"/>
          <w:szCs w:val="24"/>
        </w:rPr>
        <w:t xml:space="preserve"> 1 intricate and transfer them to the complex IV. </w:t>
      </w:r>
    </w:p>
    <w:p w:rsidR="007F777F" w:rsidRPr="00A972EE" w:rsidRDefault="00084877" w:rsidP="007F777F">
      <w:pPr>
        <w:spacing w:line="480" w:lineRule="auto"/>
        <w:ind w:left="360"/>
        <w:rPr>
          <w:rFonts w:ascii="Times New Roman" w:hAnsi="Times New Roman" w:cs="Times New Roman"/>
          <w:b/>
          <w:bCs/>
          <w:sz w:val="24"/>
          <w:szCs w:val="24"/>
        </w:rPr>
      </w:pPr>
      <w:r w:rsidRPr="00A972EE">
        <w:rPr>
          <w:rFonts w:ascii="Times New Roman" w:hAnsi="Times New Roman" w:cs="Times New Roman"/>
          <w:b/>
          <w:bCs/>
          <w:sz w:val="24"/>
          <w:szCs w:val="24"/>
        </w:rPr>
        <w:t>Minor comments</w:t>
      </w:r>
    </w:p>
    <w:p w:rsidR="007F777F" w:rsidRPr="00A972EE" w:rsidRDefault="00084877" w:rsidP="007F777F">
      <w:pPr>
        <w:pStyle w:val="ListParagraph"/>
        <w:numPr>
          <w:ilvl w:val="0"/>
          <w:numId w:val="2"/>
        </w:numPr>
        <w:spacing w:line="480" w:lineRule="auto"/>
        <w:rPr>
          <w:rFonts w:ascii="Times New Roman" w:hAnsi="Times New Roman" w:cs="Times New Roman"/>
          <w:sz w:val="24"/>
          <w:szCs w:val="24"/>
        </w:rPr>
      </w:pPr>
      <w:r w:rsidRPr="00A972EE">
        <w:rPr>
          <w:rFonts w:ascii="Times New Roman" w:hAnsi="Times New Roman" w:cs="Times New Roman"/>
          <w:sz w:val="24"/>
          <w:szCs w:val="24"/>
        </w:rPr>
        <w:t xml:space="preserve">In the introduction, the author has explained about apoptosis decrease when using yellow tea. However, apoptosis is a programmed cell death because it happens </w:t>
      </w:r>
      <w:r w:rsidRPr="00A972EE">
        <w:rPr>
          <w:rFonts w:ascii="Times New Roman" w:hAnsi="Times New Roman" w:cs="Times New Roman"/>
          <w:sz w:val="24"/>
          <w:szCs w:val="24"/>
        </w:rPr>
        <w:lastRenderedPageBreak/>
        <w:t>normally and is controlled because of development. Authors need to explain this comprehensively why it should be reduced, yet it is vital in maintaining the normal functions and events of the cells.</w:t>
      </w:r>
    </w:p>
    <w:p w:rsidR="007F777F" w:rsidRPr="00A972EE" w:rsidRDefault="00084877" w:rsidP="007F777F">
      <w:pPr>
        <w:pStyle w:val="ListParagraph"/>
        <w:numPr>
          <w:ilvl w:val="0"/>
          <w:numId w:val="2"/>
        </w:numPr>
        <w:spacing w:line="480" w:lineRule="auto"/>
        <w:rPr>
          <w:rFonts w:ascii="Times New Roman" w:hAnsi="Times New Roman" w:cs="Times New Roman"/>
          <w:sz w:val="24"/>
          <w:szCs w:val="24"/>
        </w:rPr>
      </w:pPr>
      <w:r w:rsidRPr="00A972EE">
        <w:rPr>
          <w:rFonts w:ascii="Times New Roman" w:hAnsi="Times New Roman" w:cs="Times New Roman"/>
          <w:sz w:val="24"/>
          <w:szCs w:val="24"/>
        </w:rPr>
        <w:t>The study concentrated on many experiments because the materials and methods used were a lot. I would hope that the investigation focuses on few materials to allow the production of the results and easy for the readers to understand.</w:t>
      </w:r>
    </w:p>
    <w:p w:rsidR="007F777F" w:rsidRPr="00A972EE" w:rsidRDefault="00084877" w:rsidP="007F777F">
      <w:pPr>
        <w:spacing w:line="480" w:lineRule="auto"/>
        <w:rPr>
          <w:rFonts w:ascii="Times New Roman" w:hAnsi="Times New Roman" w:cs="Times New Roman"/>
          <w:b/>
          <w:bCs/>
          <w:sz w:val="24"/>
          <w:szCs w:val="24"/>
        </w:rPr>
      </w:pPr>
      <w:r w:rsidRPr="00A972EE">
        <w:rPr>
          <w:rFonts w:ascii="Times New Roman" w:hAnsi="Times New Roman" w:cs="Times New Roman"/>
          <w:b/>
          <w:bCs/>
          <w:sz w:val="24"/>
          <w:szCs w:val="24"/>
        </w:rPr>
        <w:t>Future Studies</w:t>
      </w:r>
    </w:p>
    <w:p w:rsidR="007F777F" w:rsidRPr="00A972EE" w:rsidRDefault="00084877" w:rsidP="007F777F">
      <w:pPr>
        <w:pStyle w:val="ListParagraph"/>
        <w:numPr>
          <w:ilvl w:val="0"/>
          <w:numId w:val="3"/>
        </w:numPr>
        <w:spacing w:line="480" w:lineRule="auto"/>
        <w:rPr>
          <w:rFonts w:ascii="Times New Roman" w:hAnsi="Times New Roman" w:cs="Times New Roman"/>
          <w:sz w:val="24"/>
          <w:szCs w:val="24"/>
        </w:rPr>
      </w:pPr>
      <w:r w:rsidRPr="00A972EE">
        <w:rPr>
          <w:rFonts w:ascii="Times New Roman" w:hAnsi="Times New Roman" w:cs="Times New Roman"/>
          <w:sz w:val="24"/>
          <w:szCs w:val="24"/>
        </w:rPr>
        <w:t xml:space="preserve">In the discussion, the authors have stated that both black and green tea have therapeutic effects associated with controlling lipid metabolism and anti-obesity impacts. Therefore, I would recommend that a study confirm these results and compare them with yellow tea. </w:t>
      </w:r>
    </w:p>
    <w:p w:rsidR="007F777F" w:rsidRPr="00A972EE" w:rsidRDefault="00084877" w:rsidP="007F777F">
      <w:pPr>
        <w:spacing w:line="480" w:lineRule="auto"/>
        <w:rPr>
          <w:rFonts w:ascii="Times New Roman" w:hAnsi="Times New Roman" w:cs="Times New Roman"/>
          <w:b/>
          <w:bCs/>
          <w:sz w:val="24"/>
          <w:szCs w:val="24"/>
        </w:rPr>
      </w:pPr>
      <w:r w:rsidRPr="00A972EE">
        <w:rPr>
          <w:rFonts w:ascii="Times New Roman" w:hAnsi="Times New Roman" w:cs="Times New Roman"/>
          <w:b/>
          <w:bCs/>
          <w:sz w:val="24"/>
          <w:szCs w:val="24"/>
        </w:rPr>
        <w:t>Positive comment</w:t>
      </w:r>
    </w:p>
    <w:p w:rsidR="007F777F" w:rsidRPr="00A972EE" w:rsidRDefault="00084877" w:rsidP="007F777F">
      <w:pPr>
        <w:pStyle w:val="ListParagraph"/>
        <w:numPr>
          <w:ilvl w:val="0"/>
          <w:numId w:val="4"/>
        </w:numPr>
        <w:spacing w:line="480" w:lineRule="auto"/>
        <w:rPr>
          <w:rFonts w:ascii="Times New Roman" w:hAnsi="Times New Roman" w:cs="Times New Roman"/>
          <w:sz w:val="24"/>
          <w:szCs w:val="24"/>
        </w:rPr>
      </w:pPr>
      <w:r w:rsidRPr="00A972EE">
        <w:rPr>
          <w:rFonts w:ascii="Times New Roman" w:hAnsi="Times New Roman" w:cs="Times New Roman"/>
          <w:sz w:val="24"/>
          <w:szCs w:val="24"/>
        </w:rPr>
        <w:t>The authors gave a comprehensive and detailed introduction concerning the topic.</w:t>
      </w:r>
    </w:p>
    <w:p w:rsidR="007F777F" w:rsidRPr="00A972EE" w:rsidRDefault="00084877" w:rsidP="007F777F">
      <w:pPr>
        <w:pStyle w:val="ListParagraph"/>
        <w:numPr>
          <w:ilvl w:val="0"/>
          <w:numId w:val="4"/>
        </w:numPr>
        <w:spacing w:line="480" w:lineRule="auto"/>
        <w:rPr>
          <w:rFonts w:ascii="Times New Roman" w:hAnsi="Times New Roman" w:cs="Times New Roman"/>
          <w:sz w:val="24"/>
          <w:szCs w:val="24"/>
        </w:rPr>
      </w:pPr>
      <w:r w:rsidRPr="00A972EE">
        <w:rPr>
          <w:rFonts w:ascii="Times New Roman" w:hAnsi="Times New Roman" w:cs="Times New Roman"/>
          <w:sz w:val="24"/>
          <w:szCs w:val="24"/>
        </w:rPr>
        <w:t>The purpose of the research was mentioned in the abstract and introduction.</w:t>
      </w:r>
    </w:p>
    <w:p w:rsidR="007F777F" w:rsidRPr="00A972EE" w:rsidRDefault="00084877" w:rsidP="007F777F">
      <w:pPr>
        <w:pStyle w:val="ListParagraph"/>
        <w:numPr>
          <w:ilvl w:val="0"/>
          <w:numId w:val="4"/>
        </w:numPr>
        <w:spacing w:line="480" w:lineRule="auto"/>
        <w:rPr>
          <w:rFonts w:ascii="Times New Roman" w:hAnsi="Times New Roman" w:cs="Times New Roman"/>
          <w:sz w:val="24"/>
          <w:szCs w:val="24"/>
        </w:rPr>
      </w:pPr>
      <w:r w:rsidRPr="00A972EE">
        <w:rPr>
          <w:rFonts w:ascii="Times New Roman" w:hAnsi="Times New Roman" w:cs="Times New Roman"/>
          <w:sz w:val="24"/>
          <w:szCs w:val="24"/>
        </w:rPr>
        <w:t>The role of each material utilized was also well explained.</w:t>
      </w:r>
    </w:p>
    <w:p w:rsidR="007F777F" w:rsidRPr="00A972EE" w:rsidRDefault="00084877" w:rsidP="007F777F">
      <w:pPr>
        <w:pStyle w:val="ListParagraph"/>
        <w:numPr>
          <w:ilvl w:val="0"/>
          <w:numId w:val="4"/>
        </w:numPr>
        <w:spacing w:line="480" w:lineRule="auto"/>
        <w:rPr>
          <w:rFonts w:ascii="Times New Roman" w:hAnsi="Times New Roman" w:cs="Times New Roman"/>
          <w:sz w:val="24"/>
          <w:szCs w:val="24"/>
        </w:rPr>
      </w:pPr>
      <w:r w:rsidRPr="00A972EE">
        <w:rPr>
          <w:rFonts w:ascii="Times New Roman" w:hAnsi="Times New Roman" w:cs="Times New Roman"/>
          <w:sz w:val="24"/>
          <w:szCs w:val="24"/>
        </w:rPr>
        <w:t>The materials and methods, discussion, and results sections were well arranged with subheadings which offered an easy and clear guide for the readers.</w:t>
      </w:r>
    </w:p>
    <w:p w:rsidR="007F777F" w:rsidRDefault="00084877" w:rsidP="007F777F">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7F777F" w:rsidRPr="007F777F" w:rsidRDefault="00084877" w:rsidP="007F777F">
      <w:pPr>
        <w:pStyle w:val="ListParagraph"/>
        <w:spacing w:line="480" w:lineRule="auto"/>
        <w:jc w:val="center"/>
        <w:rPr>
          <w:rFonts w:ascii="Times New Roman" w:hAnsi="Times New Roman" w:cs="Times New Roman"/>
          <w:b/>
          <w:sz w:val="24"/>
          <w:szCs w:val="24"/>
        </w:rPr>
      </w:pPr>
      <w:r w:rsidRPr="007F777F">
        <w:rPr>
          <w:rFonts w:ascii="Times New Roman" w:hAnsi="Times New Roman" w:cs="Times New Roman"/>
          <w:b/>
          <w:sz w:val="24"/>
          <w:szCs w:val="24"/>
        </w:rPr>
        <w:lastRenderedPageBreak/>
        <w:t>References</w:t>
      </w:r>
    </w:p>
    <w:p w:rsidR="007F777F" w:rsidRPr="00A972EE" w:rsidRDefault="00084877" w:rsidP="007F777F">
      <w:pPr>
        <w:spacing w:line="480" w:lineRule="auto"/>
        <w:ind w:left="720" w:hanging="720"/>
        <w:rPr>
          <w:rFonts w:ascii="Times New Roman" w:hAnsi="Times New Roman" w:cs="Times New Roman"/>
          <w:sz w:val="24"/>
          <w:szCs w:val="24"/>
        </w:rPr>
      </w:pPr>
      <w:r w:rsidRPr="00A972EE">
        <w:rPr>
          <w:rFonts w:ascii="Times New Roman" w:hAnsi="Times New Roman" w:cs="Times New Roman"/>
          <w:sz w:val="24"/>
          <w:szCs w:val="24"/>
        </w:rPr>
        <w:t xml:space="preserve">Wang, P., Huang, Y., </w:t>
      </w:r>
      <w:proofErr w:type="spellStart"/>
      <w:r w:rsidRPr="00A972EE">
        <w:rPr>
          <w:rFonts w:ascii="Times New Roman" w:hAnsi="Times New Roman" w:cs="Times New Roman"/>
          <w:sz w:val="24"/>
          <w:szCs w:val="24"/>
        </w:rPr>
        <w:t>Ren</w:t>
      </w:r>
      <w:proofErr w:type="spellEnd"/>
      <w:r w:rsidRPr="00A972EE">
        <w:rPr>
          <w:rFonts w:ascii="Times New Roman" w:hAnsi="Times New Roman" w:cs="Times New Roman"/>
          <w:sz w:val="24"/>
          <w:szCs w:val="24"/>
        </w:rPr>
        <w:t xml:space="preserve">, J., </w:t>
      </w:r>
      <w:proofErr w:type="spellStart"/>
      <w:r w:rsidRPr="00A972EE">
        <w:rPr>
          <w:rFonts w:ascii="Times New Roman" w:hAnsi="Times New Roman" w:cs="Times New Roman"/>
          <w:sz w:val="24"/>
          <w:szCs w:val="24"/>
        </w:rPr>
        <w:t>Rong</w:t>
      </w:r>
      <w:proofErr w:type="spellEnd"/>
      <w:r w:rsidRPr="00A972EE">
        <w:rPr>
          <w:rFonts w:ascii="Times New Roman" w:hAnsi="Times New Roman" w:cs="Times New Roman"/>
          <w:sz w:val="24"/>
          <w:szCs w:val="24"/>
        </w:rPr>
        <w:t xml:space="preserve">, Y., Fan, L., Zhang, P., Zhang, X., Xi, J., Mao, S., Su, M., Zhang, B., </w:t>
      </w:r>
      <w:proofErr w:type="spellStart"/>
      <w:r w:rsidRPr="00A972EE">
        <w:rPr>
          <w:rFonts w:ascii="Times New Roman" w:hAnsi="Times New Roman" w:cs="Times New Roman"/>
          <w:sz w:val="24"/>
          <w:szCs w:val="24"/>
        </w:rPr>
        <w:t>Bao</w:t>
      </w:r>
      <w:proofErr w:type="spellEnd"/>
      <w:r w:rsidRPr="00A972EE">
        <w:rPr>
          <w:rFonts w:ascii="Times New Roman" w:hAnsi="Times New Roman" w:cs="Times New Roman"/>
          <w:sz w:val="24"/>
          <w:szCs w:val="24"/>
        </w:rPr>
        <w:t xml:space="preserve">, G., Wu, F. (2021). Food &amp; Function: Large-leaf yellow tea attenuates high glucose-induced vascular endothelial cells injury by up-regulating autophagy and down-regulating oxidative stress. </w:t>
      </w:r>
      <w:proofErr w:type="spellStart"/>
      <w:r w:rsidRPr="00A972EE">
        <w:rPr>
          <w:rFonts w:ascii="Times New Roman" w:hAnsi="Times New Roman" w:cs="Times New Roman"/>
          <w:i/>
          <w:iCs/>
          <w:sz w:val="24"/>
          <w:szCs w:val="24"/>
        </w:rPr>
        <w:t>Scholarone</w:t>
      </w:r>
      <w:proofErr w:type="spellEnd"/>
      <w:r w:rsidRPr="00A972EE">
        <w:rPr>
          <w:rFonts w:ascii="Times New Roman" w:hAnsi="Times New Roman" w:cs="Times New Roman"/>
          <w:i/>
          <w:iCs/>
          <w:sz w:val="24"/>
          <w:szCs w:val="24"/>
        </w:rPr>
        <w:t xml:space="preserve"> Manuscripts</w:t>
      </w:r>
      <w:r w:rsidRPr="00A972EE">
        <w:rPr>
          <w:rFonts w:ascii="Times New Roman" w:hAnsi="Times New Roman" w:cs="Times New Roman"/>
          <w:sz w:val="24"/>
          <w:szCs w:val="24"/>
        </w:rPr>
        <w:t xml:space="preserve">. </w:t>
      </w:r>
    </w:p>
    <w:p w:rsidR="00FF2F2D" w:rsidRDefault="00FF2F2D" w:rsidP="007F777F">
      <w:pPr>
        <w:spacing w:line="480" w:lineRule="auto"/>
      </w:pPr>
    </w:p>
    <w:p w:rsidR="00A1538A" w:rsidRDefault="00A1538A" w:rsidP="007F777F">
      <w:pPr>
        <w:spacing w:line="480" w:lineRule="auto"/>
      </w:pPr>
    </w:p>
    <w:p w:rsidR="00A1538A" w:rsidRDefault="00A1538A" w:rsidP="007F777F">
      <w:pPr>
        <w:spacing w:line="480" w:lineRule="auto"/>
      </w:pPr>
    </w:p>
    <w:p w:rsidR="00A1538A" w:rsidRDefault="00A1538A" w:rsidP="00A153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highlight w:val="yellow"/>
        </w:rPr>
        <w:t>Comments</w:t>
      </w:r>
      <w:r>
        <w:rPr>
          <w:rFonts w:ascii="Times New Roman" w:hAnsi="Times New Roman" w:cs="Times New Roman"/>
          <w:sz w:val="24"/>
          <w:szCs w:val="24"/>
        </w:rPr>
        <w:t xml:space="preserve"> </w:t>
      </w:r>
    </w:p>
    <w:p w:rsidR="00A1538A" w:rsidRPr="00BE01D4" w:rsidRDefault="00A1538A" w:rsidP="00A1538A">
      <w:pPr>
        <w:pStyle w:val="ListParagraph"/>
        <w:numPr>
          <w:ilvl w:val="0"/>
          <w:numId w:val="5"/>
        </w:numPr>
        <w:spacing w:line="480" w:lineRule="auto"/>
        <w:rPr>
          <w:rFonts w:ascii="Times New Roman" w:hAnsi="Times New Roman" w:cs="Times New Roman"/>
          <w:sz w:val="24"/>
          <w:szCs w:val="24"/>
        </w:rPr>
      </w:pPr>
      <w:bookmarkStart w:id="0" w:name="_GoBack"/>
      <w:r w:rsidRPr="00BE01D4">
        <w:rPr>
          <w:rFonts w:ascii="Times New Roman" w:hAnsi="Times New Roman" w:cs="Times New Roman"/>
          <w:sz w:val="24"/>
          <w:szCs w:val="24"/>
        </w:rPr>
        <w:t>Quotes all the sentence copied from the article “between practices”</w:t>
      </w:r>
    </w:p>
    <w:bookmarkEnd w:id="0"/>
    <w:p w:rsidR="00A1538A" w:rsidRPr="00BE01D4" w:rsidRDefault="00A1538A" w:rsidP="00A1538A">
      <w:pPr>
        <w:pStyle w:val="ListParagraph"/>
        <w:numPr>
          <w:ilvl w:val="0"/>
          <w:numId w:val="5"/>
        </w:numPr>
        <w:spacing w:line="480" w:lineRule="auto"/>
        <w:rPr>
          <w:rFonts w:ascii="Times New Roman" w:hAnsi="Times New Roman" w:cs="Times New Roman"/>
          <w:sz w:val="24"/>
          <w:szCs w:val="24"/>
          <w:rtl/>
        </w:rPr>
      </w:pPr>
      <w:r w:rsidRPr="00BE01D4">
        <w:rPr>
          <w:rFonts w:ascii="Times New Roman" w:hAnsi="Times New Roman" w:cs="Times New Roman"/>
          <w:sz w:val="24"/>
          <w:szCs w:val="24"/>
        </w:rPr>
        <w:t xml:space="preserve">Give comments on figure /graphs and tables used </w:t>
      </w:r>
      <w:proofErr w:type="gramStart"/>
      <w:r w:rsidRPr="00BE01D4">
        <w:rPr>
          <w:rFonts w:ascii="Times New Roman" w:hAnsi="Times New Roman" w:cs="Times New Roman"/>
          <w:sz w:val="24"/>
          <w:szCs w:val="24"/>
        </w:rPr>
        <w:t>( clear</w:t>
      </w:r>
      <w:proofErr w:type="gramEnd"/>
      <w:r w:rsidRPr="00BE01D4">
        <w:rPr>
          <w:rFonts w:ascii="Times New Roman" w:hAnsi="Times New Roman" w:cs="Times New Roman"/>
          <w:sz w:val="24"/>
          <w:szCs w:val="24"/>
        </w:rPr>
        <w:t xml:space="preserve">, explained will </w:t>
      </w:r>
      <w:proofErr w:type="spellStart"/>
      <w:r w:rsidRPr="00BE01D4">
        <w:rPr>
          <w:rFonts w:ascii="Times New Roman" w:hAnsi="Times New Roman" w:cs="Times New Roman"/>
          <w:sz w:val="24"/>
          <w:szCs w:val="24"/>
        </w:rPr>
        <w:t>etc</w:t>
      </w:r>
      <w:proofErr w:type="spellEnd"/>
      <w:r w:rsidRPr="00BE01D4">
        <w:rPr>
          <w:rFonts w:ascii="Times New Roman" w:hAnsi="Times New Roman" w:cs="Times New Roman"/>
          <w:sz w:val="24"/>
          <w:szCs w:val="24"/>
        </w:rPr>
        <w:t xml:space="preserve"> ….)</w:t>
      </w:r>
    </w:p>
    <w:p w:rsidR="00A1538A" w:rsidRPr="00BE01D4" w:rsidRDefault="00A1538A" w:rsidP="00A1538A">
      <w:pPr>
        <w:pStyle w:val="ListParagraph"/>
        <w:numPr>
          <w:ilvl w:val="0"/>
          <w:numId w:val="5"/>
        </w:numPr>
        <w:spacing w:line="480" w:lineRule="auto"/>
        <w:rPr>
          <w:rFonts w:ascii="Times New Roman" w:hAnsi="Times New Roman" w:cs="Times New Roman"/>
          <w:sz w:val="24"/>
          <w:szCs w:val="24"/>
        </w:rPr>
      </w:pPr>
      <w:r w:rsidRPr="00BE01D4">
        <w:rPr>
          <w:rFonts w:ascii="Times New Roman" w:hAnsi="Times New Roman" w:cs="Times New Roman"/>
          <w:sz w:val="24"/>
          <w:szCs w:val="24"/>
        </w:rPr>
        <w:t>Don't give an abbreviation to words</w:t>
      </w:r>
    </w:p>
    <w:p w:rsidR="00A1538A" w:rsidRDefault="00A1538A" w:rsidP="00A1538A">
      <w:pPr>
        <w:spacing w:line="480" w:lineRule="auto"/>
      </w:pPr>
    </w:p>
    <w:p w:rsidR="00A1538A" w:rsidRDefault="00A1538A" w:rsidP="007F777F">
      <w:pPr>
        <w:spacing w:line="480" w:lineRule="auto"/>
      </w:pPr>
    </w:p>
    <w:sectPr w:rsidR="00A153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14B" w:rsidRDefault="00D6014B">
      <w:pPr>
        <w:spacing w:after="0" w:line="240" w:lineRule="auto"/>
      </w:pPr>
      <w:r>
        <w:separator/>
      </w:r>
    </w:p>
  </w:endnote>
  <w:endnote w:type="continuationSeparator" w:id="0">
    <w:p w:rsidR="00D6014B" w:rsidRDefault="00D60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14B" w:rsidRDefault="00D6014B">
      <w:pPr>
        <w:spacing w:after="0" w:line="240" w:lineRule="auto"/>
      </w:pPr>
      <w:r>
        <w:separator/>
      </w:r>
    </w:p>
  </w:footnote>
  <w:footnote w:type="continuationSeparator" w:id="0">
    <w:p w:rsidR="00D6014B" w:rsidRDefault="00D60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9811635"/>
      <w:docPartObj>
        <w:docPartGallery w:val="Page Numbers (Top of Page)"/>
        <w:docPartUnique/>
      </w:docPartObj>
    </w:sdtPr>
    <w:sdtEndPr>
      <w:rPr>
        <w:noProof/>
      </w:rPr>
    </w:sdtEndPr>
    <w:sdtContent>
      <w:p w:rsidR="007F777F" w:rsidRDefault="00084877">
        <w:pPr>
          <w:pStyle w:val="Header"/>
          <w:jc w:val="right"/>
        </w:pPr>
        <w:r>
          <w:fldChar w:fldCharType="begin"/>
        </w:r>
        <w:r>
          <w:instrText xml:space="preserve"> PAGE   \* MERGEFORMAT </w:instrText>
        </w:r>
        <w:r>
          <w:fldChar w:fldCharType="separate"/>
        </w:r>
        <w:r w:rsidR="00BE01D4">
          <w:rPr>
            <w:noProof/>
          </w:rPr>
          <w:t>4</w:t>
        </w:r>
        <w:r>
          <w:rPr>
            <w:noProof/>
          </w:rPr>
          <w:fldChar w:fldCharType="end"/>
        </w:r>
      </w:p>
    </w:sdtContent>
  </w:sdt>
  <w:p w:rsidR="007F777F" w:rsidRDefault="007F77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40521"/>
    <w:multiLevelType w:val="hybridMultilevel"/>
    <w:tmpl w:val="EF763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7825A2"/>
    <w:multiLevelType w:val="hybridMultilevel"/>
    <w:tmpl w:val="3984FFD2"/>
    <w:lvl w:ilvl="0" w:tplc="88362080">
      <w:start w:val="1"/>
      <w:numFmt w:val="decimal"/>
      <w:lvlText w:val="%1."/>
      <w:lvlJc w:val="left"/>
      <w:pPr>
        <w:ind w:left="720" w:hanging="360"/>
      </w:pPr>
      <w:rPr>
        <w:rFonts w:hint="default"/>
      </w:rPr>
    </w:lvl>
    <w:lvl w:ilvl="1" w:tplc="30FA36AA" w:tentative="1">
      <w:start w:val="1"/>
      <w:numFmt w:val="lowerLetter"/>
      <w:lvlText w:val="%2."/>
      <w:lvlJc w:val="left"/>
      <w:pPr>
        <w:ind w:left="1440" w:hanging="360"/>
      </w:pPr>
    </w:lvl>
    <w:lvl w:ilvl="2" w:tplc="A492EED8" w:tentative="1">
      <w:start w:val="1"/>
      <w:numFmt w:val="lowerRoman"/>
      <w:lvlText w:val="%3."/>
      <w:lvlJc w:val="right"/>
      <w:pPr>
        <w:ind w:left="2160" w:hanging="180"/>
      </w:pPr>
    </w:lvl>
    <w:lvl w:ilvl="3" w:tplc="922E81C6" w:tentative="1">
      <w:start w:val="1"/>
      <w:numFmt w:val="decimal"/>
      <w:lvlText w:val="%4."/>
      <w:lvlJc w:val="left"/>
      <w:pPr>
        <w:ind w:left="2880" w:hanging="360"/>
      </w:pPr>
    </w:lvl>
    <w:lvl w:ilvl="4" w:tplc="078CC4A6" w:tentative="1">
      <w:start w:val="1"/>
      <w:numFmt w:val="lowerLetter"/>
      <w:lvlText w:val="%5."/>
      <w:lvlJc w:val="left"/>
      <w:pPr>
        <w:ind w:left="3600" w:hanging="360"/>
      </w:pPr>
    </w:lvl>
    <w:lvl w:ilvl="5" w:tplc="9F168A38" w:tentative="1">
      <w:start w:val="1"/>
      <w:numFmt w:val="lowerRoman"/>
      <w:lvlText w:val="%6."/>
      <w:lvlJc w:val="right"/>
      <w:pPr>
        <w:ind w:left="4320" w:hanging="180"/>
      </w:pPr>
    </w:lvl>
    <w:lvl w:ilvl="6" w:tplc="1256BC34" w:tentative="1">
      <w:start w:val="1"/>
      <w:numFmt w:val="decimal"/>
      <w:lvlText w:val="%7."/>
      <w:lvlJc w:val="left"/>
      <w:pPr>
        <w:ind w:left="5040" w:hanging="360"/>
      </w:pPr>
    </w:lvl>
    <w:lvl w:ilvl="7" w:tplc="B37C2D72" w:tentative="1">
      <w:start w:val="1"/>
      <w:numFmt w:val="lowerLetter"/>
      <w:lvlText w:val="%8."/>
      <w:lvlJc w:val="left"/>
      <w:pPr>
        <w:ind w:left="5760" w:hanging="360"/>
      </w:pPr>
    </w:lvl>
    <w:lvl w:ilvl="8" w:tplc="E5D6BED0" w:tentative="1">
      <w:start w:val="1"/>
      <w:numFmt w:val="lowerRoman"/>
      <w:lvlText w:val="%9."/>
      <w:lvlJc w:val="right"/>
      <w:pPr>
        <w:ind w:left="6480" w:hanging="180"/>
      </w:pPr>
    </w:lvl>
  </w:abstractNum>
  <w:abstractNum w:abstractNumId="2">
    <w:nsid w:val="25E86356"/>
    <w:multiLevelType w:val="hybridMultilevel"/>
    <w:tmpl w:val="F970C61C"/>
    <w:lvl w:ilvl="0" w:tplc="F74E3412">
      <w:start w:val="1"/>
      <w:numFmt w:val="decimal"/>
      <w:lvlText w:val="%1."/>
      <w:lvlJc w:val="left"/>
      <w:pPr>
        <w:ind w:left="1080" w:hanging="360"/>
      </w:pPr>
      <w:rPr>
        <w:rFonts w:hint="default"/>
      </w:rPr>
    </w:lvl>
    <w:lvl w:ilvl="1" w:tplc="E9A4C550" w:tentative="1">
      <w:start w:val="1"/>
      <w:numFmt w:val="lowerLetter"/>
      <w:lvlText w:val="%2."/>
      <w:lvlJc w:val="left"/>
      <w:pPr>
        <w:ind w:left="1800" w:hanging="360"/>
      </w:pPr>
    </w:lvl>
    <w:lvl w:ilvl="2" w:tplc="258AA0DC" w:tentative="1">
      <w:start w:val="1"/>
      <w:numFmt w:val="lowerRoman"/>
      <w:lvlText w:val="%3."/>
      <w:lvlJc w:val="right"/>
      <w:pPr>
        <w:ind w:left="2520" w:hanging="180"/>
      </w:pPr>
    </w:lvl>
    <w:lvl w:ilvl="3" w:tplc="A2DE8A08" w:tentative="1">
      <w:start w:val="1"/>
      <w:numFmt w:val="decimal"/>
      <w:lvlText w:val="%4."/>
      <w:lvlJc w:val="left"/>
      <w:pPr>
        <w:ind w:left="3240" w:hanging="360"/>
      </w:pPr>
    </w:lvl>
    <w:lvl w:ilvl="4" w:tplc="CC9AC3F4" w:tentative="1">
      <w:start w:val="1"/>
      <w:numFmt w:val="lowerLetter"/>
      <w:lvlText w:val="%5."/>
      <w:lvlJc w:val="left"/>
      <w:pPr>
        <w:ind w:left="3960" w:hanging="360"/>
      </w:pPr>
    </w:lvl>
    <w:lvl w:ilvl="5" w:tplc="142AF42A" w:tentative="1">
      <w:start w:val="1"/>
      <w:numFmt w:val="lowerRoman"/>
      <w:lvlText w:val="%6."/>
      <w:lvlJc w:val="right"/>
      <w:pPr>
        <w:ind w:left="4680" w:hanging="180"/>
      </w:pPr>
    </w:lvl>
    <w:lvl w:ilvl="6" w:tplc="7F568B0A" w:tentative="1">
      <w:start w:val="1"/>
      <w:numFmt w:val="decimal"/>
      <w:lvlText w:val="%7."/>
      <w:lvlJc w:val="left"/>
      <w:pPr>
        <w:ind w:left="5400" w:hanging="360"/>
      </w:pPr>
    </w:lvl>
    <w:lvl w:ilvl="7" w:tplc="5F4A2C66" w:tentative="1">
      <w:start w:val="1"/>
      <w:numFmt w:val="lowerLetter"/>
      <w:lvlText w:val="%8."/>
      <w:lvlJc w:val="left"/>
      <w:pPr>
        <w:ind w:left="6120" w:hanging="360"/>
      </w:pPr>
    </w:lvl>
    <w:lvl w:ilvl="8" w:tplc="D45421CE" w:tentative="1">
      <w:start w:val="1"/>
      <w:numFmt w:val="lowerRoman"/>
      <w:lvlText w:val="%9."/>
      <w:lvlJc w:val="right"/>
      <w:pPr>
        <w:ind w:left="6840" w:hanging="180"/>
      </w:pPr>
    </w:lvl>
  </w:abstractNum>
  <w:abstractNum w:abstractNumId="3">
    <w:nsid w:val="37AF7F81"/>
    <w:multiLevelType w:val="hybridMultilevel"/>
    <w:tmpl w:val="AC468ABA"/>
    <w:lvl w:ilvl="0" w:tplc="8C508042">
      <w:start w:val="1"/>
      <w:numFmt w:val="decimal"/>
      <w:lvlText w:val="%1."/>
      <w:lvlJc w:val="left"/>
      <w:pPr>
        <w:ind w:left="720" w:hanging="360"/>
      </w:pPr>
    </w:lvl>
    <w:lvl w:ilvl="1" w:tplc="0C1047BC" w:tentative="1">
      <w:start w:val="1"/>
      <w:numFmt w:val="lowerLetter"/>
      <w:lvlText w:val="%2."/>
      <w:lvlJc w:val="left"/>
      <w:pPr>
        <w:ind w:left="1440" w:hanging="360"/>
      </w:pPr>
    </w:lvl>
    <w:lvl w:ilvl="2" w:tplc="60D684C8" w:tentative="1">
      <w:start w:val="1"/>
      <w:numFmt w:val="lowerRoman"/>
      <w:lvlText w:val="%3."/>
      <w:lvlJc w:val="right"/>
      <w:pPr>
        <w:ind w:left="2160" w:hanging="180"/>
      </w:pPr>
    </w:lvl>
    <w:lvl w:ilvl="3" w:tplc="918878B8" w:tentative="1">
      <w:start w:val="1"/>
      <w:numFmt w:val="decimal"/>
      <w:lvlText w:val="%4."/>
      <w:lvlJc w:val="left"/>
      <w:pPr>
        <w:ind w:left="2880" w:hanging="360"/>
      </w:pPr>
    </w:lvl>
    <w:lvl w:ilvl="4" w:tplc="BB22B114" w:tentative="1">
      <w:start w:val="1"/>
      <w:numFmt w:val="lowerLetter"/>
      <w:lvlText w:val="%5."/>
      <w:lvlJc w:val="left"/>
      <w:pPr>
        <w:ind w:left="3600" w:hanging="360"/>
      </w:pPr>
    </w:lvl>
    <w:lvl w:ilvl="5" w:tplc="F530F28E" w:tentative="1">
      <w:start w:val="1"/>
      <w:numFmt w:val="lowerRoman"/>
      <w:lvlText w:val="%6."/>
      <w:lvlJc w:val="right"/>
      <w:pPr>
        <w:ind w:left="4320" w:hanging="180"/>
      </w:pPr>
    </w:lvl>
    <w:lvl w:ilvl="6" w:tplc="E88E3B22" w:tentative="1">
      <w:start w:val="1"/>
      <w:numFmt w:val="decimal"/>
      <w:lvlText w:val="%7."/>
      <w:lvlJc w:val="left"/>
      <w:pPr>
        <w:ind w:left="5040" w:hanging="360"/>
      </w:pPr>
    </w:lvl>
    <w:lvl w:ilvl="7" w:tplc="DE503802" w:tentative="1">
      <w:start w:val="1"/>
      <w:numFmt w:val="lowerLetter"/>
      <w:lvlText w:val="%8."/>
      <w:lvlJc w:val="left"/>
      <w:pPr>
        <w:ind w:left="5760" w:hanging="360"/>
      </w:pPr>
    </w:lvl>
    <w:lvl w:ilvl="8" w:tplc="0FFEC962" w:tentative="1">
      <w:start w:val="1"/>
      <w:numFmt w:val="lowerRoman"/>
      <w:lvlText w:val="%9."/>
      <w:lvlJc w:val="right"/>
      <w:pPr>
        <w:ind w:left="6480" w:hanging="180"/>
      </w:pPr>
    </w:lvl>
  </w:abstractNum>
  <w:abstractNum w:abstractNumId="4">
    <w:nsid w:val="76597D09"/>
    <w:multiLevelType w:val="hybridMultilevel"/>
    <w:tmpl w:val="6F7EC648"/>
    <w:lvl w:ilvl="0" w:tplc="45E6EC26">
      <w:start w:val="1"/>
      <w:numFmt w:val="decimal"/>
      <w:lvlText w:val="%1."/>
      <w:lvlJc w:val="left"/>
      <w:pPr>
        <w:ind w:left="1440" w:hanging="360"/>
      </w:pPr>
      <w:rPr>
        <w:rFonts w:hint="default"/>
      </w:rPr>
    </w:lvl>
    <w:lvl w:ilvl="1" w:tplc="32E25EDE" w:tentative="1">
      <w:start w:val="1"/>
      <w:numFmt w:val="lowerLetter"/>
      <w:lvlText w:val="%2."/>
      <w:lvlJc w:val="left"/>
      <w:pPr>
        <w:ind w:left="2160" w:hanging="360"/>
      </w:pPr>
    </w:lvl>
    <w:lvl w:ilvl="2" w:tplc="CBF632B2" w:tentative="1">
      <w:start w:val="1"/>
      <w:numFmt w:val="lowerRoman"/>
      <w:lvlText w:val="%3."/>
      <w:lvlJc w:val="right"/>
      <w:pPr>
        <w:ind w:left="2880" w:hanging="180"/>
      </w:pPr>
    </w:lvl>
    <w:lvl w:ilvl="3" w:tplc="3A448C5C" w:tentative="1">
      <w:start w:val="1"/>
      <w:numFmt w:val="decimal"/>
      <w:lvlText w:val="%4."/>
      <w:lvlJc w:val="left"/>
      <w:pPr>
        <w:ind w:left="3600" w:hanging="360"/>
      </w:pPr>
    </w:lvl>
    <w:lvl w:ilvl="4" w:tplc="432EA0F8" w:tentative="1">
      <w:start w:val="1"/>
      <w:numFmt w:val="lowerLetter"/>
      <w:lvlText w:val="%5."/>
      <w:lvlJc w:val="left"/>
      <w:pPr>
        <w:ind w:left="4320" w:hanging="360"/>
      </w:pPr>
    </w:lvl>
    <w:lvl w:ilvl="5" w:tplc="DA08200C" w:tentative="1">
      <w:start w:val="1"/>
      <w:numFmt w:val="lowerRoman"/>
      <w:lvlText w:val="%6."/>
      <w:lvlJc w:val="right"/>
      <w:pPr>
        <w:ind w:left="5040" w:hanging="180"/>
      </w:pPr>
    </w:lvl>
    <w:lvl w:ilvl="6" w:tplc="B78C054C" w:tentative="1">
      <w:start w:val="1"/>
      <w:numFmt w:val="decimal"/>
      <w:lvlText w:val="%7."/>
      <w:lvlJc w:val="left"/>
      <w:pPr>
        <w:ind w:left="5760" w:hanging="360"/>
      </w:pPr>
    </w:lvl>
    <w:lvl w:ilvl="7" w:tplc="9BF20C0E" w:tentative="1">
      <w:start w:val="1"/>
      <w:numFmt w:val="lowerLetter"/>
      <w:lvlText w:val="%8."/>
      <w:lvlJc w:val="left"/>
      <w:pPr>
        <w:ind w:left="6480" w:hanging="360"/>
      </w:pPr>
    </w:lvl>
    <w:lvl w:ilvl="8" w:tplc="B554071E" w:tentative="1">
      <w:start w:val="1"/>
      <w:numFmt w:val="lowerRoman"/>
      <w:lvlText w:val="%9."/>
      <w:lvlJc w:val="right"/>
      <w:pPr>
        <w:ind w:left="720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77F"/>
    <w:rsid w:val="00084877"/>
    <w:rsid w:val="002018CF"/>
    <w:rsid w:val="00630121"/>
    <w:rsid w:val="007F777F"/>
    <w:rsid w:val="00A1538A"/>
    <w:rsid w:val="00A85B27"/>
    <w:rsid w:val="00A972EE"/>
    <w:rsid w:val="00B06794"/>
    <w:rsid w:val="00BE01D4"/>
    <w:rsid w:val="00D6014B"/>
    <w:rsid w:val="00F36B34"/>
    <w:rsid w:val="00FF2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FA4952-EAD1-4855-B451-05A78259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7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77F"/>
    <w:pPr>
      <w:ind w:left="720"/>
      <w:contextualSpacing/>
    </w:pPr>
  </w:style>
  <w:style w:type="paragraph" w:styleId="Header">
    <w:name w:val="header"/>
    <w:basedOn w:val="Normal"/>
    <w:link w:val="HeaderChar"/>
    <w:uiPriority w:val="99"/>
    <w:unhideWhenUsed/>
    <w:rsid w:val="007F7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77F"/>
  </w:style>
  <w:style w:type="paragraph" w:styleId="Footer">
    <w:name w:val="footer"/>
    <w:basedOn w:val="Normal"/>
    <w:link w:val="FooterChar"/>
    <w:uiPriority w:val="99"/>
    <w:unhideWhenUsed/>
    <w:rsid w:val="007F7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77F"/>
  </w:style>
  <w:style w:type="paragraph" w:styleId="HTMLPreformatted">
    <w:name w:val="HTML Preformatted"/>
    <w:basedOn w:val="Normal"/>
    <w:link w:val="HTMLPreformattedChar"/>
    <w:uiPriority w:val="99"/>
    <w:semiHidden/>
    <w:unhideWhenUsed/>
    <w:rsid w:val="00A15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1538A"/>
    <w:rPr>
      <w:rFonts w:ascii="Courier New" w:eastAsia="Times New Roman" w:hAnsi="Courier New" w:cs="Courier New"/>
      <w:sz w:val="20"/>
      <w:szCs w:val="20"/>
    </w:rPr>
  </w:style>
  <w:style w:type="character" w:customStyle="1" w:styleId="y2iqfc">
    <w:name w:val="y2iqfc"/>
    <w:basedOn w:val="DefaultParagraphFont"/>
    <w:rsid w:val="00A15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390386">
      <w:bodyDiv w:val="1"/>
      <w:marLeft w:val="0"/>
      <w:marRight w:val="0"/>
      <w:marTop w:val="0"/>
      <w:marBottom w:val="0"/>
      <w:divBdr>
        <w:top w:val="none" w:sz="0" w:space="0" w:color="auto"/>
        <w:left w:val="none" w:sz="0" w:space="0" w:color="auto"/>
        <w:bottom w:val="none" w:sz="0" w:space="0" w:color="auto"/>
        <w:right w:val="none" w:sz="0" w:space="0" w:color="auto"/>
      </w:divBdr>
    </w:div>
    <w:div w:id="8657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755</Words>
  <Characters>4305</Characters>
  <Application>Microsoft Office Word</Application>
  <DocSecurity>0</DocSecurity>
  <Lines>35</Lines>
  <Paragraphs>10</Paragraphs>
  <ScaleCrop>false</ScaleCrop>
  <Company/>
  <LinksUpToDate>false</LinksUpToDate>
  <CharactersWithSpaces>5050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Mariam A_K</cp:lastModifiedBy>
  <cp:revision>6</cp:revision>
  <dcterms:created xsi:type="dcterms:W3CDTF">2021-10-12T02:18:00Z</dcterms:created>
  <dcterms:modified xsi:type="dcterms:W3CDTF">2021-10-14T14:15:00Z</dcterms:modified>
</cp:coreProperties>
</file>